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66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36"/>
          <w:szCs w:val="36"/>
          <w:u w:val="none"/>
          <w:shd w:fill="auto" w:val="clear"/>
          <w:vertAlign w:val="baseline"/>
          <w:rtl w:val="0"/>
        </w:rPr>
        <w:t xml:space="preserve">ВСЕУКРАЇНСЬКА ГРОМАДСЬКА ОРГАНІЗАЦІЯ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66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36"/>
          <w:szCs w:val="36"/>
          <w:u w:val="none"/>
          <w:shd w:fill="auto" w:val="clear"/>
          <w:vertAlign w:val="baseline"/>
          <w:rtl w:val="0"/>
        </w:rPr>
        <w:t xml:space="preserve">„КОМІТЕТ ВИБОРЦІВ УКРАЇНИ”</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66ff"/>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56"/>
          <w:szCs w:val="56"/>
          <w:u w:val="none"/>
          <w:shd w:fill="auto" w:val="clear"/>
          <w:vertAlign w:val="baseline"/>
          <w:rtl w:val="0"/>
        </w:rPr>
        <w:t xml:space="preserve">Стратегічний план на 2023-2024 роки</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66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36"/>
          <w:szCs w:val="36"/>
          <w:u w:val="none"/>
          <w:shd w:fill="auto" w:val="clear"/>
          <w:vertAlign w:val="baseline"/>
          <w:rtl w:val="0"/>
        </w:rPr>
        <w:t xml:space="preserve">Київ – 202</w:t>
      </w:r>
      <w:r w:rsidDel="00000000" w:rsidR="00000000" w:rsidRPr="00000000">
        <w:rPr>
          <w:rFonts w:ascii="Times New Roman" w:cs="Times New Roman" w:eastAsia="Times New Roman" w:hAnsi="Times New Roman"/>
          <w:b w:val="1"/>
          <w:color w:val="3366ff"/>
          <w:sz w:val="36"/>
          <w:szCs w:val="36"/>
          <w:rtl w:val="0"/>
        </w:rPr>
        <w:t xml:space="preserve">2</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66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366ff"/>
          <w:sz w:val="28"/>
          <w:szCs w:val="28"/>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3366ff"/>
          <w:sz w:val="28"/>
          <w:szCs w:val="28"/>
          <w:u w:val="single"/>
          <w:shd w:fill="auto" w:val="clear"/>
          <w:vertAlign w:val="baseline"/>
          <w:rtl w:val="0"/>
        </w:rPr>
        <w:t xml:space="preserve">ЗМІСТ</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bl>
      <w:tblPr>
        <w:tblStyle w:val="Table1"/>
        <w:tblW w:w="9854.0" w:type="dxa"/>
        <w:jc w:val="left"/>
        <w:tblInd w:w="-108.0" w:type="dxa"/>
        <w:tblLayout w:type="fixed"/>
        <w:tblLook w:val="0000"/>
      </w:tblPr>
      <w:tblGrid>
        <w:gridCol w:w="8388"/>
        <w:gridCol w:w="1466"/>
        <w:tblGridChange w:id="0">
          <w:tblGrid>
            <w:gridCol w:w="8388"/>
            <w:gridCol w:w="1466"/>
          </w:tblGrid>
        </w:tblGridChange>
      </w:tblGrid>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Вступ</w:t>
            </w:r>
            <w:r w:rsidDel="00000000" w:rsidR="00000000" w:rsidRPr="00000000">
              <w:rPr>
                <w:rtl w:val="0"/>
              </w:rPr>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Наше бачення, місія, цінності</w:t>
            </w: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SWOT-аналіз</w:t>
            </w: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Стратегія</w:t>
            </w:r>
            <w:r w:rsidDel="00000000" w:rsidR="00000000" w:rsidRPr="00000000">
              <w:rPr>
                <w:rtl w:val="0"/>
              </w:rPr>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7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1. Вступ</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Всеукраїнську громадську організацію „Комітет виборців України” було засновано 20 лютого 1994 року як незалежну позапартійну організацію із всеукраїнським статусом. Ключова ідея ініціаторів заснування ВГО КВУ полягала у сприянні поглибленню демократичних перетворень у державі, у тому числі шляхом здійснення незалежного громадського моніторингу виборчих процесів та процесів референдуму, як на загальнодержавному, так і на місцевому рівні, а також громадського лобіювання відповідних законодавчих змін. За період своєї діяльності ВГО КВУ на основі напрацьованої організацією методології (яка враховувала всі ключові стандарти спостереження за виборами) здійснив моніторинг всіх без винятку загальнонаціональних виборчих кампаній, а також більшості кампаній з місцевих виборів. Проведення такої широкомасштабної діяльності зі здійснення моніторингу виборів стало можливим завдяки розвитку регіональних відділень ВГО КВУ. Так, станом на початок 2022 року в Україні загалом було зареєстровано 855 обласних, районних та міських організацій (відділень) ВГО КВУ в усіх регіонах держави за винятко окупованих регіонів.</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період діяльності „Комітет виборців України” суттєво розширив напрями своєї діяльності та предметної спеціалізації.</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 організація здійснювала моніторинг виборчих кампаній в Україні та інших країнах, стану та діяльності політичних партій в Україні; брала участь у реформуванні виборчого законодавства, проводила навчання членів виборчих комісій та спостерігачів з питань підготовки та проведення виборів, проводила системні моніторинги діяльності Верховної Ради та державного фінансування політичних партій.</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ВГО КВУ також здійснювала громадський контроль за діяльністю органів влади різних рівнів (моніторинг діяльності виборних посадових осіб, комунікацій влади і громадськості, відкритості органів влади тощо), проводила моніторинг та експертизу виконання і дотримання взятих на себе органами публічної влади зобов’язань в частині доступу до публічної інформації, консультацій влади і громадськості, міжнародних зобов’язань тощо.</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Ще одним напрямом спеціалізації ВГО КВУ стали запобігання та протидія корупції шляхом, зокрема, моніторингу друкованих ЗМІ на предмет висвітлення корупції, доступу до вищої освіти,  проведення державних закупівель за бюджетні кошти, прозорості розподілу та використання бюджетних коштів на місцевому рівні тощо.</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ВГО КВУ також розробляла та брала участь в імплементації пропозицій щодо покращення змісту нормативно-правових актів, прийнятих органами влади на місцевому рівні, з метою забезпечення прозорості і підзвітності відповідних органів влади і посадових осіб, щодо удосконалення процедур консультацій та комунікації між органами влади і громадськістю, приймала участь розробці „зеленої” та „білої” книги конституційної реформи.</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епіцентрі уваги ВГО КВУ також перебув такий напрямок діяльності, як надання консультацій громадськості. Наприклад, організація підтримувала діяльність мережі виїзних та стаціонарних громадських приймалень, забезпечувала роботу ресурсних центрів з підтримки територіальних громад, забезпечувала функціонування «гарячої лінії» під час проведення всеукраїнських кампаній з виборів, референдумів, зовнішнього незалежного оцінювання вступу до вищих навчальних закладів, здійснювала просвіту виборців щодо новел виборчого законодавства, реалізації їхніх прав у сфері взаємодії з органами влади, професійних прав тощо. Загалом, за 28 років діяльності ВГО КВУ було розповсюджено понад 35 млн. примірників інформаційно-просвітницьких матеріалів.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Важливу увагу організація приділяла розвитку та активізації громад, у тому числі шляхом створення умов та надання їхнім незаможним представникам можливостей впливу на прийняття рішень та підвищення якості публічних і адміністративних послуг.</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ВГО КВУ виступала співзасновником  і/або активним учасником діяльності низки коаліцій громадських організацій, зокрема:</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«Свобода вибору» (2002 р.)</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 (2004 р.)</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Коаліція НУО за ефективну конституційну реформу (2007 р.)</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Громадський консорціум виборчих ініціатив (2010 р.)</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Громадський Рух ЧЕСНО (2012 р.)</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РЕАНІМАЦІЙНИЙ ПАКЕТ РЕФОРМ (2014)</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Практика проведення реформ в Україні засвідчила, що значна частина рекомендацій міжнародних організацій щодо удосконалення законодавства у сферах виборів, регулювання діяльності політичних партій, запобігання і протидії корупції, забезпечення відкритості і підзвітності органів влади і посадових осіб, а також практики застосування цього законодавства, все ще залишається актуальною. Так, потребує суттєвих змін у напрямі приведення у відповідність до міжнародних стандартів, рекомендацій ОБСЄ/БДІПЛ та Венеціанської комісії законодавство про вибори і референдуми, а також практика його застосування. Також потребує суттєвого реформування українське законодавство у напрямку запобігання та протидії корупції (наприклад про державне фінансування політичних партій, електронне декларування тощо), в той час як прийняті законодавчі акти  належним чином не застосовуються на практиці під час війни. Більшість зареєстрованих в Україні партій мають „диванний” характер, тоді як процедури прийняття внутрішньопартійних рішень далекі від демократичних стандартів. Недоліки законодавства в частині регулювання фінансування партій зумовлюють їх залежність від приватного фінансування, непрозорість фінансування партійної діяльності і передвиборної агітації, відсутність дієвого контролю за партійним фінансуванням.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Проведення реформ залишається одним із найактуальніших питань в Україні і має серйозний запит з боку громадськості. При цьому темп впровадження реформ є незадовільним, а самі реформи часто проводяться без врахування міжнародних рекомендацій. Відсутність системності та послідовності у проведенні реформ негативно позначається на їх якості і призводить до різної швидкості реформування в окремих напрямках.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Однією із першочергових є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реформа виборчого законодавства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яка має передбачити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створення дієвих механізмів для голосування українських громадян, які під час війни перебувають за кордоном (близько 8 млн.), зменшення ризиків втручання у виборчий процес з боку Росії, запровадження механізмів для забезпечення прозорості процесу формування виборчих списків, зменшення рівня використання тіньових коштів під час виборів. підвищення рівня безпеки виборів. Тісно пов’язаним із виборчою реформою є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реформування інститутів партійної демократії</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що включатиме питання відновлення фінансування політичних партій, що було зупинено на час дії воєнного стану, членства та органів управління партій, а також підвищення самостійності місцевих організацій політичних партій. Враховуючи вкрай низький рівень довіри до судової влади, має бути проведена належна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судова реформа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яка б сприяла реалізації права осіб на справедливий суд і відновила довіру до суддів. Внаслідок високого рівня корупції має бути проведена повноцінна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антикорупційна реформа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Це, зокрема, передбачає посилення можливостей для виявлення та кримінального переслідування корупційних діянь, забезпечення доступу до інформації у форматі «відкритих даних», відкриття інформації із державних реєстрів Міністерства юстиції України. Низька якість законодавчої роботи вимагає проведення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парламентської реформи,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яка б покращила процедури підготовки та розгляду законопроектів, а також сприяла прозорості діяльності парламенту та налагодила дієву співпрацю між парламентом і урядом (за даними моніторингових досліджень КВУ за підсумками 2022 р. парламент підтримав лише близько 30% урядових законопроєктів).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Протягом 2023 – 2024 років ВГО КВУ зосередить свою діяльність на напрямку І. ПОСИЛЕННІ РОЛІ ВГО КВУ У ЗБЕРЕЖЕННІ ТА ПОСИЛЕННІ МЕХАНІЗМІВ ДЕМОКРАТІЇ У ПЕРІОД ДІЇ ПРАВОВОГО РЕЖИМУ ВОЄННОГО СТАНУ ТА ПОСТВОЄННИЙ ПЕРІОД ЗА ПРІОРИТЕТНИМИ НАПРЯМАМИ, зокрема: 1) підтримка інститутів безпосередньої демократії (законодавчі ініціативи у сфері виборчого права (зменшення ризиків впливу з боку Росії та реалізація виборчого права громадянами України, що перебувають за кордоном), моніторинг виборчих кампаній та референдумів, референдуми (місцеві і загальноукраїнські);  2) моніторинг діяльності органів влади і напрацювання рекомендацій з покращення їх роботи, участь в розробці законопроектів; 3) розвиток внутрішньопартійної демократії (моніторинг державного фінансування політичних партій та вдосконалення законодавства щодо фінансування партій, моніторинг розвитку внутрішньопартійної демократії – інституційної спроможності партій, методологічно-тренінгова підтримка розбудови партій); 4) впровадження належного врядування в діяльності партій та органів публічної влади; 5) захист прав та інтересів громадян у відносинах з органами державної влади; 6) інформаційно-просвітницькі кампанії щодо стану реалізації вищезазначених реформ. Здійснення діяльності у цих сферах потребує суттєвого посилення інституційної спроможності ВГО КВУ, зокрема – впровадження у внутрішній діяльності стандартів і практик належного врядування у НУО, посилення фінансової та кадрової спроможності, а також оптимізації зовнішніх та внутрішніх комунікацій.</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Основні форми роботи: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Аналітично-консультативна підтримка реформ (аналіз, моніторинг, напрацювання рекомендацій, участь у розробці законопроектів);</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Інформаційно-просвітницькі кампанії для громадян щодо ключових проблем (безпекові питання: просвітницькі кампанії щодо поводження з вибухонебезпечними предметами) і поточних суспільно-політичних реформ в Україні;</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Моніторинг і контроль виконання реформ на місцевому рівні;</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Моніторинг і контроль електронного декларування та використання партіями державного фінансування;</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Мережева методологічна підтримка реформ для органів влади та місцевого самоврядування;</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Правова допомога громадянам у поствоєнний період (громадські приймальні, гарячі лінії);</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Методологічна, тренінгова, консультативна підтримка щодо впровадження елементів good governance для НУО та органів місцевого самоврядування, як базового елементу для розвитку громад;</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Моніторинг і контроль виконання реформ на місцевому рівні;</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Системні аналітичні звіти по стану впровадження реформ, на базі громадських обговорень та експертних досліджень.</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цьому Стратегічному плані викладено бачення, місію та цінності ВГО КВУ, наведено SWOT- аналіз організації,  викладено стратегічні цілі організації, опис діяльності по їх досягненню та очікувані результати, а також принципи моніторингу відповідної діяльності та досягнення нею визначених результатів.</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2. Наше бачення, місія, візія та цінності</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Наше бачення</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2023-2024 рік ВГО КВУ стане провідною всеукраїнською мережевою організацією і визнаною рушійною силою у просуванні демократичних змін, в результаті яких громадяни України матимуть реальну можливість користуватись своїми правами та брати участь в управлінні державою як безпосередньо, так і через органи публічної влади, а також знатимуть, як ефективно реалізувати таку можливість на практиці.</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Наша місія</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Наша місія полягає у створенні умов для забезпечення реалізації прав громадян та реального народовладдя шляхом:</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7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просвіти і активізації конкретного громадянина, інститутів громадянського суспільства;</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7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участі у формуванні та реалізації політики у пріоритетних для ВГО КВУ сферах;</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7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громадського моніторингу і контролю реалізації політики у відповідній сфері;</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7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взаємодії із зацікавленими сторонами.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Наша візія розвитку організації</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Наша візія в середньо терміновій перспективі є наступною, КВУ – унікальна мережева громадська організація, яка спеціалізується на питаннях  - виборчого процесу, децентралізації, партійної розбудови та політичних фінансів:</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КВУ – унікальний мережевий мозковий центр,</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КВУ – потужна тренінгова мережа </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КВУ – потужна комунікативна мережа, яка сприяє комунікації між владою і громадськістю</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Завдання ВГО КВУ:</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створити умови для ефективної системної просвіти і активізації конкретного громадянина, інститутів громадянського суспільства;</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захищати права та інтереси громадян у відносинах з державою;</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сприяти розвитку інститутів безпосередньої демократії</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створити умови для контролю і запобіганню процесів політичної корупції;</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брати участь у формуванні та реалізації політики у пріоритетних для ВГО КВУ сферах;</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впроваджувати належне врядування у сферу публічної політики;</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проводити громадський моніторинг і контроль реалізації політики у відповідній сфері;</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взаємодіяти із зацікавленими сторонами.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Наша візія ситуації після реалізації завдань:</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громадяни обізнані політично і спроможні робити усвідомлений вибір;</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та інтереси громадян у відносинах з державою захищені;</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інститути безпосередньої демократії працюють і діють у відповідності до світових стандартів;</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здійснюється системний громадський контролю щодо запобігання процесів політичної корупції, як наслідок політична корупція зменьшена;</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ВГО КВУ приймає участь у формуванні та реалізації політики у пріоритетних для ВГО КВУ сферах;</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ВГО КВУ ділиться досвідом і лобіює впровадження належне врядування у сферу публічної політики, як наслідок знижується корупція, підвищується довіра суспільства до публічної політики.</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Наші цінності</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Служіння суспільству</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Незалежність</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Визнання демократичних цінностей  і повага до прав людини</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Рівність</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Прозорість</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Підзвітність</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Відповідальність</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Доброчесність</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Співпраця з усіма зацікавленими сторонами</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Неприбутковий характер діяльності</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Добровільність</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3. SWOT-аналіз</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854.0" w:type="dxa"/>
        <w:jc w:val="left"/>
        <w:tblInd w:w="-108.0" w:type="dxa"/>
        <w:tblLayout w:type="fixed"/>
        <w:tblLook w:val="0000"/>
      </w:tblPr>
      <w:tblGrid>
        <w:gridCol w:w="4927"/>
        <w:gridCol w:w="4927"/>
        <w:tblGridChange w:id="0">
          <w:tblGrid>
            <w:gridCol w:w="4927"/>
            <w:gridCol w:w="4927"/>
          </w:tblGrid>
        </w:tblGridChange>
      </w:tblGrid>
      <w:tr>
        <w:trPr>
          <w:cantSplit w:val="0"/>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2"/>
                <w:szCs w:val="22"/>
                <w:u w:val="none"/>
                <w:shd w:fill="auto" w:val="clear"/>
                <w:vertAlign w:val="baseline"/>
                <w:rtl w:val="0"/>
              </w:rPr>
              <w:t xml:space="preserve">Сильні сторони:</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визнана  в Україні та за її межами роль у здійсненні моніторингу виборів, доступу до вищої освіти, діяльності органів влади та виборних посадових осіб, ініціюванні змін до виборчого і суміжного законодавства;</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значний досвід моніторингової, експертно-аналітичної, просвітницької діяльності, досвід реалізації проектів на загальнодержавному рівні (у більшості регіонів держави);</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висока якість аналітичних, інформаційних та інших продуктів;</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наявність потужної мережі організацій на регіональному та місцевому рівнях;</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досвід роботи у коаліціях громадських організацій на всеукраїнському рівні;</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наявність ефективних контактів з українськими та міжнародними ЗМІ, органами влади, іншими зацікавленими сторонами</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2"/>
                <w:szCs w:val="22"/>
                <w:u w:val="none"/>
                <w:shd w:fill="auto" w:val="clear"/>
                <w:vertAlign w:val="baseline"/>
                <w:rtl w:val="0"/>
              </w:rPr>
              <w:t xml:space="preserve">Загрози:</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відсутність політичної волі до впровадження реформ через корупцію, відсутність ефективного впливу на діяльність вищих органів влади з боку міжнародної спільноти тощо;</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неготовність громадян користуватись наданими правами та можливостями їх реалізації та захисту;</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відсутність достатнього фінансування на здійснення діяльності за пріоритетними напрямами та для проведення внутрішніх реформ (через зміну пріоритетів донорів, фінансово-економічну ситуацію в державі тощо);</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конкуренції між НУО;</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несприятливі зміни до законодавства, яке регламентує діяльність НУО, трудові відносини, фінансування діяльності громадських об’єднань;</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несприятливі зміни до законодавства, які ускладнюють діяльність за пріоритетними напрямами спеціалізації (наприклад, спрямовані на послаблення прозорості та підзвітності роботи органів публічної влади та їхніх посадових осіб, можливості для здійснення моніторингу тощо)</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2"/>
                <w:szCs w:val="22"/>
                <w:u w:val="none"/>
                <w:shd w:fill="auto" w:val="clear"/>
                <w:vertAlign w:val="baseline"/>
                <w:rtl w:val="0"/>
              </w:rPr>
              <w:t xml:space="preserve">Слабкі сторони:</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орієнтація на потреби донорів через відсутність стабільних джерел фінансування;</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залежність від обмеженого кола донорів;</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неврегульованість ряду внутрішніх процедур відповідними документами;</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недостатність кваліфікованих кадрів для ефективного виконання поставлених завдань, відсутність належних процедур професійного розвитку кадрів, плинність кадрів;</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неефективність діяльності окремих організацій на регіональному та місцевому рівнях, яка ускладнює реалізацію спільних для ВГО КВУ завдань як в центрі, так і на місцях;</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недостатній рівень використання сучасних засобів комунікацій;</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неповне використання потенціалу взаємодії із ЗМІ, органами влади, НУО та іншими зацікавленими сторонами</w:t>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2"/>
                <w:szCs w:val="22"/>
                <w:u w:val="none"/>
                <w:shd w:fill="auto" w:val="clear"/>
                <w:vertAlign w:val="baseline"/>
                <w:rtl w:val="0"/>
              </w:rPr>
              <w:t xml:space="preserve">Можливості:</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існування суспільного запиту на проведення реформ;</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тиск на органи влади в Україні з боку міжнародної спільноти, внутрішніх акторів, з метою поглиблення реформ;</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співпраці неурядових організацій між собою та зі ЗМІ, іншими зацікавленими сторонами;</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громадян у лобіюванні законодавчих змін, впровадженні реформ</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удосконалення законодавства в окремих сферах (доступ до публічної інформації, протидія корупції тощо)</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активне впровадження нових засобів і форм масової комунікації;</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3366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Потенційна можливість продовження надання інституційної підтримки ВГО КВУ для проведення внутрішніх реформ і здійснення діяльності за пріоритетними напрямами спеціалізації</w:t>
            </w: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8"/>
          <w:szCs w:val="28"/>
          <w:u w:val="none"/>
          <w:shd w:fill="auto" w:val="clear"/>
          <w:vertAlign w:val="baseline"/>
          <w:rtl w:val="0"/>
        </w:rPr>
        <w:t xml:space="preserve">4. Стратегія</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4"/>
          <w:szCs w:val="24"/>
          <w:u w:val="none"/>
          <w:shd w:fill="auto" w:val="clear"/>
          <w:vertAlign w:val="baseline"/>
          <w:rtl w:val="0"/>
        </w:rPr>
        <w:t xml:space="preserve">4.1. Цілі</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рамках реалізації Стратегії ВГО КВУ на 20</w:t>
      </w:r>
      <w:r w:rsidDel="00000000" w:rsidR="00000000" w:rsidRPr="00000000">
        <w:rPr>
          <w:rFonts w:ascii="Times New Roman" w:cs="Times New Roman" w:eastAsia="Times New Roman" w:hAnsi="Times New Roman"/>
          <w:sz w:val="22"/>
          <w:szCs w:val="22"/>
          <w:rtl w:val="0"/>
        </w:rPr>
        <w:t xml:space="preserve">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роки ВГО КВУ планує зосередити свою роботу над досягненням двох основних стратегічних цілей:</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посиленні власної ролі у здійсненні демократичних перетворень за пріоритетними напрямами спеціалізації;</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посиленні інституційної спроможності ВГО КВУ.</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межах кожної цілі організація виділила для себе окремі підцілі, визначені за сферами регулювання.</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в рамках цілі № 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діяльність ВГО КВУ здійснюватиметься у напрямку І. ПОСИЛЕННІ РОЛІ ВГО КВУ У ЗДІЙСНЕННІ ДЕМОКРАТИЧНИХ ПЕРЕТВОРЕНЬ ЗА ПРІОРИТЕТНИМИ НАПРЯМАМИ СПЕЦІАЛІЗАЦІЇ, зокрема: 1) розвиток інститутів безпосередньої демократії (законодавчі ініціативи у сфері виборчого права, вдосконалення законодавства щодо реформування ЦВК, моніторинг виборчих кампаній та референдумів, референдуми (місцеві і загальноукраїнські);  2) моніторинг діяльності органів влади і напрацювання рекомендацій з покращення їх роботи, участь в розробці законопроектів; 3) демократизація партій та реформа політичних фінансів: розвиток внутрішньопартійної демократії (моніторинг державного фінансування політичних партій та вдосконалення законодавства щодо фінансування партій, моніторинг розвитку внутрішньопартійної демократії – інституційної спроможності партій, методологічно-тренінгова підтримка розбудови партій); 4) впровадження належного врядування в діяльності партій та органів публічної влади; 5) захист прав та інтересів громадян у відносинах з органами державної влади; 6) інформаційно-просвітницькі кампанії щодо стану реалізації вищезазначених реформ (конституційна, виборча, децентралізації, антикорупційна в розрізі політичної корупції, публічної адміністрації, парламентська, реформування інститутів партійної демократії, парламентська реформа).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рамках досягнення цілі №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діяльність ВГО КВУ спрямовуватиметься на досягнення таких підцілей, як: 1) впровадження та вдосконалення процедур належного врядування; 2) посилення фінансової спроможності; 3) посилення кадрової спроможності; 4) оптимізація та вдосконалення зовнішніх та внутрішніх комунікацій.</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4"/>
          <w:szCs w:val="24"/>
          <w:u w:val="none"/>
          <w:shd w:fill="auto" w:val="clear"/>
          <w:vertAlign w:val="baseline"/>
          <w:rtl w:val="0"/>
        </w:rPr>
        <w:t xml:space="preserve">4.2. Дії</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рамках досягнення цілі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по кожній підцілі діяльність щодо її досягнення здійснюватиметься за приблизно єдиним алгоритмом і передбачатиме:</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проведення аналізу політики у відповідній сфері, а також аспекту в якому саме сегменті ВГО КВУ може надати унікальні послуги для громадян;</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відповідності до аналізу політик, у разі необхідності - проведення опитування зацікавлених сторін щодо змісту виявлених проблем та шляхів їх врегулювання;</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розробка і впровадження тактичного плану дій щодо шляхів подолання проблеми в рамках мандату ВГО КВУ (розроблення і обговорення драфтів законопроектів та підзаконних актів, моніторинг виконання, проведення лобіських, інформаціно-просвітницьких кампаній, проведення навчальних заходів, підтримка методологічної бази та інше);</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підготовку пропозицій щодо перегляду політики за результатами досліджень/моніторингів її впровадження.</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окремих пріоритетних напрямів спеціалізації ВГО КВУ, окрім зазначених вище, передбачено ряд додаткових дій. В рамках розвитку інститутів безпосередньої демократії ВГО КВУ також проводитиме моніторинг чергових та позачергових виборів та референдумів, забезпечуватиме функціонування „гарячої” лінії під час проведення загальнодержавних виборчих кампаній або всеукраїнських референдумів для консультування громадян з питань реалізації їх виборчих прав чи права на участь у референдумі, виготовлятиме інформаційно-просвітницькі матеріали з питань реалізації громадянами права на участь у виборах та референдумах, а також проводитиме навчання членів виборчих комісій чи комісій з референдуму з питань організації виборчого процесу під час загальнодержавних виборів чи всеукраїнського референдуму. </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4"/>
          <w:szCs w:val="24"/>
          <w:u w:val="none"/>
          <w:shd w:fill="auto" w:val="clear"/>
          <w:vertAlign w:val="baseline"/>
          <w:rtl w:val="0"/>
        </w:rPr>
        <w:t xml:space="preserve">4.3. Результати</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рамках реалізації цілі №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ВГО КВУ очікує, що здійснювана протягом 20</w:t>
      </w:r>
      <w:r w:rsidDel="00000000" w:rsidR="00000000" w:rsidRPr="00000000">
        <w:rPr>
          <w:rFonts w:ascii="Times New Roman" w:cs="Times New Roman" w:eastAsia="Times New Roman" w:hAnsi="Times New Roman"/>
          <w:sz w:val="22"/>
          <w:szCs w:val="22"/>
          <w:rtl w:val="0"/>
        </w:rPr>
        <w:t xml:space="preserve">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202</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років діяльність призведе до зрушення реформ у відповідних сферах спеціалізації (внесення на розгляд парламенту та інших органів законодавчих пропозицій, які відображуватимуть позиції зацікавлених сторін, активне лобіювання зацікавленими сторонами цих пропозицій тощо), підвищення рівня обізнаності та активності громадян у відповідних сферах, ефективності реалізації їхніх прав (більш детально див. матриця оцінки досягнення результатів).</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рамках реалізації цілі №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запланована діяльність дозволить вдосконалити базові внутрішні правила та процедури у відповідність до стандартів належного врядування у НУО загалом, посилення фінансового та кадрового потенціалу організації, у тому числі диверсифікації джерел і збільшення обсягів фінансування ВГО КВУ, забезпечення ефективної та вмотивованої праці працівників організації, підвищення рівня обізнаності зацікавлених сторін щодо діяльності ВГО КВУ та поглиблення рівня сприйняття ВГО КВУ як організації, що створює якісні продукти та надає якісні послуги, активізації взаємодії ВГО КВУ із ЗМІ та іншими НУО, зростання відвідуваності веб-сайту ВГО КВУ.</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4"/>
          <w:szCs w:val="24"/>
          <w:u w:val="none"/>
          <w:shd w:fill="auto" w:val="clear"/>
          <w:vertAlign w:val="baseline"/>
          <w:rtl w:val="0"/>
        </w:rPr>
        <w:t xml:space="preserve">4.4. Моніторинг/контроль</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Основну роль у моніторингу виконання дій та досягнення результатів в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рамках цілі №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відіграватимуть Наглядова рада та Правління ВГО КВУ, а також зовнішні актори, насамперед ЗМІ та міжнародні організації, які здійснюватимуть моніторинг впровадження реформ, а також донори, які виділятимуть фінансування на проекти, спрямовані на просування реформ, моніторинг діяльності органів влади тощо. Детальний перелік документів та індикаторів моніторингу наведено у Додатку 1 четвертій колонці  матриці оцінки досягнення результатів.</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В рамках досягнення цілі №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основна роль у моніторингу відводитиметься Наглядовій раді і Правлінню ВГО КВУ, а також незалежним аудиторам, які контролюватимуть реформування системи управління, внутрішніх правил і процедур у ВГО КВУ. Такий аудит проводитиметься на щорічній основі. Певну роль у моніторингу досягнення результатів діяльності також відіграватимуть ЗМІ та інші зацікавлені сторони (див., матриця оцінки досягнення результатів). Детальний перелік документів та індикаторів моніторингу наведено у матриці оцінки досягнення результатів.</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66ff"/>
          <w:sz w:val="24"/>
          <w:szCs w:val="24"/>
          <w:u w:val="none"/>
          <w:shd w:fill="auto" w:val="clear"/>
          <w:vertAlign w:val="baseline"/>
          <w:rtl w:val="0"/>
        </w:rPr>
        <w:t xml:space="preserve">4.4. Ресурси</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Вся діяльність, спрямована на виконання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цілей №№ 1 та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здійснюватиметься за рахунок наявних в організації кадрових, фінансових, інформаційних та телекомунікаційних (техніка, обладнання, бази даних тощо) ресурсів, а також мережі ВГО КВУ, яка ефективно співпрацюватиме з центральним офісом організації. Індикатором ефективності використання цих ресурсів стане дотримання графіків та виконання (своєчасно і у повному обсязі) заходів, передбачених Стратегічним та операційними планами. Контроль за ефективністю використання ресурсів здійснюватиметься як Наглядовою радою організації, так і зовнішніми акторами (донорами, уповноваженими органами влади, іншими громадськими об’єднаннями тощо) на підставі щорічних звітів про виконання відповідних операційних планів та бюджетів, інформації у ЗМІ, висновків зовнішнього аудиту тощо. До основних ризиків, пов’язаних з ресурсним забезпеченням діяльності ВГО КВУ, варто віднести відсутність достатнього обсягу фінансування, необхідних кадрів, несприятливі зміни до законодавства, яке регулює діяльність неурядових організацій, відсутність ефективної взаємодії ВГО КВУ з організаціями власної мережі.</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8" w:w="11906" w:orient="portrait"/>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briol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briola" w:cs="Gabriola" w:eastAsia="Gabriola" w:hAnsi="Gabriola"/>
        <w:b w:val="0"/>
        <w:i w:val="0"/>
        <w:smallCaps w:val="0"/>
        <w:strike w:val="0"/>
        <w:color w:val="000000"/>
        <w:sz w:val="24"/>
        <w:szCs w:val="24"/>
        <w:u w:val="none"/>
        <w:shd w:fill="auto" w:val="clear"/>
        <w:vertAlign w:val="baseline"/>
      </w:rPr>
    </w:pPr>
    <w:r w:rsidDel="00000000" w:rsidR="00000000" w:rsidRPr="00000000">
      <w:rPr>
        <w:rFonts w:ascii="Gabriola" w:cs="Gabriola" w:eastAsia="Gabriola" w:hAnsi="Gabriol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Gabriola" w:cs="Gabriola" w:eastAsia="Gabriola" w:hAnsi="Gabriol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briola" w:cs="Gabriola" w:eastAsia="Gabriola" w:hAnsi="Gabriola"/>
        <w:b w:val="0"/>
        <w:i w:val="0"/>
        <w:smallCaps w:val="0"/>
        <w:strike w:val="0"/>
        <w:color w:val="000000"/>
        <w:sz w:val="24"/>
        <w:szCs w:val="24"/>
        <w:u w:val="none"/>
        <w:shd w:fill="auto" w:val="clear"/>
        <w:vertAlign w:val="baseline"/>
      </w:rPr>
    </w:pPr>
    <w:r w:rsidDel="00000000" w:rsidR="00000000" w:rsidRPr="00000000">
      <w:rPr>
        <w:rFonts w:ascii="Gabriola" w:cs="Gabriola" w:eastAsia="Gabriola" w:hAnsi="Gabriol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360" w:firstLine="0"/>
      <w:jc w:val="left"/>
      <w:rPr>
        <w:rFonts w:ascii="Noto Sans Symbols" w:cs="Noto Sans Symbols" w:eastAsia="Noto Sans Symbols" w:hAnsi="Noto Sans Symbols"/>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22"/>
        <w:szCs w:val="22"/>
        <w:u w:val="none"/>
        <w:shd w:fill="auto" w:val="clear"/>
        <w:vertAlign w:val="baseline"/>
        <w:rtl w:val="0"/>
      </w:rPr>
      <w:t xml:space="preserve">Стратегічний план ВГО КВУ на 2023-2024 роки</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ВГО „Комітет виборців України”</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405"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405"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405" w:hanging="360"/>
      </w:pPr>
      <w:rPr>
        <w:rFonts w:ascii="Noto Sans Symbols" w:cs="Noto Sans Symbols" w:eastAsia="Noto Sans Symbols" w:hAnsi="Noto Sans Symbols"/>
        <w:vertAlign w:val="baseline"/>
      </w:rPr>
    </w:lvl>
    <w:lvl w:ilvl="1">
      <w:start w:val="1"/>
      <w:numFmt w:val="bullet"/>
      <w:lvlText w:val="o"/>
      <w:lvlJc w:val="left"/>
      <w:pPr>
        <w:ind w:left="1125" w:hanging="360"/>
      </w:pPr>
      <w:rPr>
        <w:rFonts w:ascii="Courier New" w:cs="Courier New" w:eastAsia="Courier New" w:hAnsi="Courier New"/>
        <w:vertAlign w:val="baseline"/>
      </w:rPr>
    </w:lvl>
    <w:lvl w:ilvl="2">
      <w:start w:val="1"/>
      <w:numFmt w:val="bullet"/>
      <w:lvlText w:val="▪"/>
      <w:lvlJc w:val="left"/>
      <w:pPr>
        <w:ind w:left="1845" w:hanging="360"/>
      </w:pPr>
      <w:rPr>
        <w:rFonts w:ascii="Noto Sans Symbols" w:cs="Noto Sans Symbols" w:eastAsia="Noto Sans Symbols" w:hAnsi="Noto Sans Symbols"/>
        <w:vertAlign w:val="baseline"/>
      </w:rPr>
    </w:lvl>
    <w:lvl w:ilvl="3">
      <w:start w:val="1"/>
      <w:numFmt w:val="bullet"/>
      <w:lvlText w:val="●"/>
      <w:lvlJc w:val="left"/>
      <w:pPr>
        <w:ind w:left="2565" w:hanging="360"/>
      </w:pPr>
      <w:rPr>
        <w:rFonts w:ascii="Noto Sans Symbols" w:cs="Noto Sans Symbols" w:eastAsia="Noto Sans Symbols" w:hAnsi="Noto Sans Symbols"/>
        <w:vertAlign w:val="baseline"/>
      </w:rPr>
    </w:lvl>
    <w:lvl w:ilvl="4">
      <w:start w:val="1"/>
      <w:numFmt w:val="bullet"/>
      <w:lvlText w:val="o"/>
      <w:lvlJc w:val="left"/>
      <w:pPr>
        <w:ind w:left="3285" w:hanging="360"/>
      </w:pPr>
      <w:rPr>
        <w:rFonts w:ascii="Courier New" w:cs="Courier New" w:eastAsia="Courier New" w:hAnsi="Courier New"/>
        <w:vertAlign w:val="baseline"/>
      </w:rPr>
    </w:lvl>
    <w:lvl w:ilvl="5">
      <w:start w:val="1"/>
      <w:numFmt w:val="bullet"/>
      <w:lvlText w:val="▪"/>
      <w:lvlJc w:val="left"/>
      <w:pPr>
        <w:ind w:left="4005" w:hanging="360"/>
      </w:pPr>
      <w:rPr>
        <w:rFonts w:ascii="Noto Sans Symbols" w:cs="Noto Sans Symbols" w:eastAsia="Noto Sans Symbols" w:hAnsi="Noto Sans Symbols"/>
        <w:vertAlign w:val="baseline"/>
      </w:rPr>
    </w:lvl>
    <w:lvl w:ilvl="6">
      <w:start w:val="1"/>
      <w:numFmt w:val="bullet"/>
      <w:lvlText w:val="●"/>
      <w:lvlJc w:val="left"/>
      <w:pPr>
        <w:ind w:left="4725" w:hanging="360"/>
      </w:pPr>
      <w:rPr>
        <w:rFonts w:ascii="Noto Sans Symbols" w:cs="Noto Sans Symbols" w:eastAsia="Noto Sans Symbols" w:hAnsi="Noto Sans Symbols"/>
        <w:vertAlign w:val="baseline"/>
      </w:rPr>
    </w:lvl>
    <w:lvl w:ilvl="7">
      <w:start w:val="1"/>
      <w:numFmt w:val="bullet"/>
      <w:lvlText w:val="o"/>
      <w:lvlJc w:val="left"/>
      <w:pPr>
        <w:ind w:left="5445" w:hanging="360"/>
      </w:pPr>
      <w:rPr>
        <w:rFonts w:ascii="Courier New" w:cs="Courier New" w:eastAsia="Courier New" w:hAnsi="Courier New"/>
        <w:vertAlign w:val="baseline"/>
      </w:rPr>
    </w:lvl>
    <w:lvl w:ilvl="8">
      <w:start w:val="1"/>
      <w:numFmt w:val="bullet"/>
      <w:lvlText w:val="▪"/>
      <w:lvlJc w:val="left"/>
      <w:pPr>
        <w:ind w:left="6165"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briola" w:cs="Gabriola" w:eastAsia="Gabriola" w:hAnsi="Gabriola"/>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u-RU"/>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Верхнійколонтитул">
    <w:name w:val="Верхній колонтитул"/>
    <w:basedOn w:val="Звичайний"/>
    <w:next w:val="Верхнійколонтитул"/>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u-RU"/>
    </w:rPr>
  </w:style>
  <w:style w:type="paragraph" w:styleId="Нижнійколонтитул">
    <w:name w:val="Нижній колонтитул"/>
    <w:basedOn w:val="Звичайний"/>
    <w:next w:val="Нижнійколонтитул"/>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u-RU"/>
    </w:rPr>
  </w:style>
  <w:style w:type="character" w:styleId="Номерсторінки">
    <w:name w:val="Номер сторінки"/>
    <w:basedOn w:val="Шрифтабзацузапромовчанням"/>
    <w:next w:val="Номерсторінки"/>
    <w:autoRedefine w:val="0"/>
    <w:hidden w:val="0"/>
    <w:qFormat w:val="0"/>
    <w:rPr>
      <w:w w:val="100"/>
      <w:position w:val="-1"/>
      <w:effect w:val="none"/>
      <w:vertAlign w:val="baseline"/>
      <w:cs w:val="0"/>
      <w:em w:val="none"/>
      <w:lang/>
    </w:rPr>
  </w:style>
  <w:style w:type="character" w:styleId="Знакпримітки">
    <w:name w:val="Знак примітки"/>
    <w:next w:val="Знакпримітки"/>
    <w:autoRedefine w:val="0"/>
    <w:hidden w:val="0"/>
    <w:qFormat w:val="1"/>
    <w:rPr>
      <w:w w:val="100"/>
      <w:position w:val="-1"/>
      <w:sz w:val="16"/>
      <w:szCs w:val="16"/>
      <w:effect w:val="none"/>
      <w:vertAlign w:val="baseline"/>
      <w:cs w:val="0"/>
      <w:em w:val="none"/>
      <w:lang/>
    </w:rPr>
  </w:style>
  <w:style w:type="paragraph" w:styleId="Текстпримітки">
    <w:name w:val="Текст примітки"/>
    <w:basedOn w:val="Звичайний"/>
    <w:next w:val="Текстпримітки"/>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ru-RU"/>
    </w:rPr>
  </w:style>
  <w:style w:type="character" w:styleId="ТекстприміткиЗнак">
    <w:name w:val="Текст примітки Знак"/>
    <w:next w:val="ТекстприміткиЗнак"/>
    <w:autoRedefine w:val="0"/>
    <w:hidden w:val="0"/>
    <w:qFormat w:val="0"/>
    <w:rPr>
      <w:w w:val="100"/>
      <w:position w:val="-1"/>
      <w:effect w:val="none"/>
      <w:vertAlign w:val="baseline"/>
      <w:cs w:val="0"/>
      <w:em w:val="none"/>
      <w:lang w:eastAsia="zh-CN" w:val="ru-RU"/>
    </w:rPr>
  </w:style>
  <w:style w:type="paragraph" w:styleId="Темапримітки">
    <w:name w:val="Тема примітки"/>
    <w:basedOn w:val="Текстпримітки"/>
    <w:next w:val="Текстпримітки"/>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ru-RU"/>
    </w:rPr>
  </w:style>
  <w:style w:type="character" w:styleId="ТемаприміткиЗнак">
    <w:name w:val="Тема примітки Знак"/>
    <w:next w:val="ТемаприміткиЗнак"/>
    <w:autoRedefine w:val="0"/>
    <w:hidden w:val="0"/>
    <w:qFormat w:val="0"/>
    <w:rPr>
      <w:b w:val="1"/>
      <w:bCs w:val="1"/>
      <w:w w:val="100"/>
      <w:position w:val="-1"/>
      <w:effect w:val="none"/>
      <w:vertAlign w:val="baseline"/>
      <w:cs w:val="0"/>
      <w:em w:val="none"/>
      <w:lang w:eastAsia="zh-CN" w:val="ru-RU"/>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zh-CN" w:val="ru-RU"/>
    </w:rPr>
  </w:style>
  <w:style w:type="character" w:styleId="ТекстувиносціЗнак">
    <w:name w:val="Текст у виносці Знак"/>
    <w:next w:val="ТекстувиносціЗнак"/>
    <w:autoRedefine w:val="0"/>
    <w:hidden w:val="0"/>
    <w:qFormat w:val="0"/>
    <w:rPr>
      <w:rFonts w:ascii="Tahoma" w:cs="Tahoma" w:hAnsi="Tahoma"/>
      <w:w w:val="100"/>
      <w:position w:val="-1"/>
      <w:sz w:val="16"/>
      <w:szCs w:val="16"/>
      <w:effect w:val="none"/>
      <w:vertAlign w:val="baseline"/>
      <w:cs w:val="0"/>
      <w:em w:val="none"/>
      <w:lang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fM1O018SX0aiNVxMupNyJrwtQ==">CgMxLjA4AHIhMUtEalhsM2RYUWlFamlvZVRiSDJxeDNjVE4tdm1vSHRE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2023-07-28T19:26:00Z</dcterms:created>
  <dc:creator>ДК</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627876309</vt:i4>
  </property>
  <property fmtid="{D5CDD505-2E9C-101B-9397-08002B2CF9AE}" pid="4" name="_EmailSubject">
    <vt:lpstr>summary draft Srat plan CVU 2013 2016</vt:lpstr>
  </property>
  <property fmtid="{D5CDD505-2E9C-101B-9397-08002B2CF9AE}" pid="5" name="_AuthorEmail">
    <vt:lpstr>ASU@cowi.dk</vt:lpstr>
  </property>
  <property fmtid="{D5CDD505-2E9C-101B-9397-08002B2CF9AE}" pid="6" name="_AuthorEmailDisplayName">
    <vt:lpstr>Albina Shuyska</vt:lpstr>
  </property>
  <property fmtid="{D5CDD505-2E9C-101B-9397-08002B2CF9AE}" pid="7" name="_NewReviewCycle">
    <vt:lpstr/>
  </property>
  <property fmtid="{D5CDD505-2E9C-101B-9397-08002B2CF9AE}" pid="8" name="_PreviousAdHocReviewCycleID">
    <vt:i4>-2092462165</vt:i4>
  </property>
  <property fmtid="{D5CDD505-2E9C-101B-9397-08002B2CF9AE}" pid="9" name="_ReviewingToolsShownOnce">
    <vt:lpstr/>
  </property>
</Properties>
</file>